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72" w:rsidRDefault="00255C72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255C72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У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УМ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72" w:rsidRDefault="00255C72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55C72" w:rsidRDefault="00255C72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55C72" w:rsidRDefault="00255C72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255C72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Конъюнктура мировых 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255C72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Обеспечение эффективных 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255C72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255C72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>Информационно-аналитическая и 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>Анализ информации и 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сиональной 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255C72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255C72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Оперативное 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255C72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72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21</w:t>
        </w:r>
        <w:r>
          <w:fldChar w:fldCharType="end"/>
        </w:r>
      </w:p>
      <w:p w:rsidR="009A5024" w:rsidRDefault="00255C72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33</w:t>
        </w:r>
        <w:r>
          <w:fldChar w:fldCharType="end"/>
        </w:r>
      </w:p>
      <w:p w:rsidR="009A5024" w:rsidRDefault="00255C72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64</w:t>
        </w:r>
        <w:r>
          <w:fldChar w:fldCharType="end"/>
        </w:r>
      </w:p>
      <w:p w:rsidR="009A5024" w:rsidRDefault="00255C72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255C72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55C72"/>
    <w:rsid w:val="00270B1B"/>
    <w:rsid w:val="002B675E"/>
    <w:rsid w:val="002C688C"/>
    <w:rsid w:val="002C73D1"/>
    <w:rsid w:val="002D3197"/>
    <w:rsid w:val="002D3CBD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EC3D6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D234-CD7B-476C-9F67-C8BA946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12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